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152CAB" w:rsidTr="00152CAB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152CAB" w:rsidRDefault="00152CAB">
            <w:pPr>
              <w:pStyle w:val="z-"/>
            </w:pPr>
            <w:r>
              <w:rPr>
                <w:cs/>
              </w:rPr>
              <w:t>ส่วนบนของฟอร์ม</w:t>
            </w:r>
          </w:p>
          <w:tbl>
            <w:tblPr>
              <w:tblW w:w="11250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52C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52500" cy="1038225"/>
                              <wp:effectExtent l="0" t="0" r="0" b="9525"/>
                              <wp:docPr id="4" name="รูปภาพ 4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เอกสารประกวดราคา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ด้วยการ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ประกวดราคาอิเล็กทรอนิกส์ (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เลขที่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๒/๒๕๖๒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การจ้างก่อสร้างก่อสร้างระบบประปาหมู่บ้าน แบบผิวดินขนาดกลาง ที่ตั้ง ข้างถนนสายบ้านนายแจ้ง พิกัด 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๘๕๖๖๑๐ 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๕๔๗๑๖๕ บ้านวังทอง หมู่ที่ ๘ ตำบลวังมะปรางเหนือ อำเภอวังวิเศษ จังหวัดตรัง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๒๓ เมษายน ๒๕๖๒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ซึ่งต่อไปนี้เรียกว่า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"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" มีความประสงค์จะ ประกวดราคาจ้างก่อสร้าง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ก่อสร้างระบบประปาหมู่บ้าน แบบผิวดินขนาดกลาง ที่ตั้ง ข้างถนนสายบ้านนายแจ้ง พิกัด 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๘๕๖๖๑๐ 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๕๔๗๑๖๕ บ้านวังทอง หมู่ที่ ๘ ตำบลวังมะปรางเหนือ อำเภอวังวิเศษ จังหวัดตรัง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ณ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ข้างถนนสายบ้านนายแจ้ง พิกัด 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๘๕๖๖๑๐ 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๕๔๗๑๖๕ บ้านวังทอง หมู่ที่ ๘ ตำบลวังมะปรางเหนือ อำเภอวังวิเศษ จังหวัดตรัง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ด้วยวิธีประกวดราคาอิเล็กทรอนิกส์ 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e-bidding)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โดยมีข้อแนะนำและข้อกำหนดดังต่อไปนี้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9"/>
                    <w:gridCol w:w="3213"/>
                    <w:gridCol w:w="3213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เอกสารแนบท้ายเอกสารประกวดราคาอิเล็กทรอนิกส์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6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แบบรูปและรายการละเอียด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7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แบบใบเสนอราคาที่กำหนดไว้ในระบบจัดซื้อจัดจ้างภาครัฐด้วยอิเล็กทรอนิกส์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๑.๓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8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สัญญาจ้างก่อสร้าง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๑.๔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แบบหนังสือค้ำประกัน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(๑)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9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หลักประกันสัญญา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บทนิยาม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0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ผู้ที่มีผลประโยชน์ร่วมกัน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1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การขัดขวางการแข่งขันอย่างเป็นธรรม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แบบบัญชีเอกสารที่กำหนดไว้ในระบบจัดซื้อจัดจ้างภาครัฐด้วยอิเล็กทรอนิกส์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2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บัญชีเอกสารส่วนที่ ๑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3" w:tgtFrame="_blank" w:history="1">
                          <w:r>
                            <w:rPr>
                              <w:rStyle w:val="ad"/>
                              <w:rFonts w:cs="Cordia New"/>
                              <w:color w:val="660066"/>
                              <w:sz w:val="32"/>
                              <w:szCs w:val="32"/>
                              <w:cs/>
                            </w:rPr>
                            <w:t>บัญชีเอกสารส่วนที่ ๒</w:t>
                          </w:r>
                        </w:hyperlink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๑.๘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รายละเอียดการคำนวณราคากลางงานก่อสร้างตาม 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BOQ (Bill of Quantities)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  .................................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ฯลฯ.................................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1"/>
                    <w:gridCol w:w="3213"/>
                    <w:gridCol w:w="3211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คุณสมบัติของผู้ยื่นข้อเสนอ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มีความสามารถตามกฎหมาย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ไม่เป็นบุคคลล้มละลาย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ไม่อยู่ระหว่างเลิกกิจการ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๒.๔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๒.๖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๒.๘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๓๒๙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๗๐๐.๐๐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(สามแสนสองหมื่นเก้าพันเจ็ดร้อยบาทถ้วน)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เชื่อถือ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ผู้ยื่นข้อเสนอที่เสนอราคาในรูปแบบของ "กิจการร่วมค้า" ต้องมีคุณสมบัติ ดังนี้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ผู้เข้าร่วมค้าหลักรายเดียวเป็นผลงานก่อสร้างของกิจการร่วมค้าที่ยื่นเสนอราคาได้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4"/>
                    <w:gridCol w:w="3202"/>
                    <w:gridCol w:w="3129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หลักฐานการยื่นข้อเสนอ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ในกรณีผู้ยื่นข้อเสนอเป็นนิติบุคคล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๔)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เอกสารเพิ่มเติมอื่นๆ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๔.๑)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สำเนาใบทะเบียนพาณิชย์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๔.๒)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สำเนาใบทะเบียนภาษีมูลค่าเพิ่ม (ถ้ามี)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๔.๓)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หนังสือมอบอำนาจ (ถ้ามี)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๔.๔)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สำเนาบัตรประจำตัวประชาชน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๔.๕)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สำเนาทะเบียนบ้าน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๔.๖)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หนังสือรับรองการจดทะเบียน (ถ้ามี)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br/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(๖)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โดยไม่ต้องแนบในรูปแบบ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ให้โดยผู้ยื่นข้อเสนอไม่ต้องแนบบัญชีเอกสารส่วนที่ ๑ ดังกล่าวในรูปแบบ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สำเนาหนังสือรับรองผลงานก่อสร้างพร้อมทั้งรับรองสำเนาถูกต้อง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บัญชีรายการก่อสร้าง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หรือใบแจ้งปริมาณงานและราคา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ซึ่งจะต้องแสดงรายการวัสดุอุปกรณ์ ค่าแรงงาน ภาษีประเภทต่างๆ รวมทั้งกำไรไว้ด้วย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๔.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การเสนอราคา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ราคาที่เสนอจะต้องเสนอกำหนดยืนราคาไม่น้อยกว่า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๓๐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๔.๓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ผู้ยื่นข้อเสนอจะต้องเสนอกำหนดเวลาดำเนินการก่อสร้างแล้วเสร็จไม่เกิน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๑๒๐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นับถัดจากวันลงนามในสัญญาจ้างหรือจากวันที่ได้รับหนังสือแจ้งจาก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ให้เริ่มทำงาน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๔.๔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๒ พฤษภาคม ๒๕๖๒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               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๔.๖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PDF File (Portable Document Format)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PDF File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ก่อนที่จะยืนยันการเสนอราคา แล้วจึงส่งข้อมูล 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Upload)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เพื่อเป็นการเสนอราคาให้แก่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ผ่านทางระบบจัดซื้อจัดจ้างภาครัฐด้วยอิเล็กทรอนิกส์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จะพิจารณาลงโทษผู้ยื่นข้อเสนอดังกล่าวเป็นผู้ทิ้งงาน เว้นแต่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๔.๘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ผู้ยื่นข้อเสนอจะต้องปฏิบัติ ดังนี้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ปฏิบัติตามเงื่อนไขที่ระบุไว้ในเอกสารประกวดราคาอิเล็กทรอนิกส์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ผู้ยื่นข้อเสนอจะถอนการเสนอราคาที่เสนอแล้วไม่ได้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www.gprocurement.go.th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๕.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หลักเกณฑ์และสิทธิในการพิจารณา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การพิจารณาผลการยื่นข้อเสนอประกวดราคาอิเล็กทรอนิกส์ครั้งนี้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จะพิจารณาตัดสินโดยใช้หลักเกณฑ์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ราคา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การพิจารณาผู้ชนะการยื่นข้อเสนอ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กรณีใช้หลักเกณฑ์ราคาในการพิจารณาผู้ชนะการยื่นข้อเสนอ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จะพิจารณาจาก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ราคารวม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๕.๓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๕.๔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๕.๕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มีสิทธิให้ผู้ยื่นข้อเสนอชี้แจงข้อเท็จจริงเพิ่มเติมได้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๕.๖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เป็นเด็ดขาดผู้ยื่นข้อเสนอจะเรียกร้องค่าใช้จ่าย หรือค่าเสียหายใดๆ มิได้ รวมทั้ง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lastRenderedPageBreak/>
                          <w:t>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๕.๗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ก่อนลงนามในสัญญา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๖.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การทำสัญญาจ้างก่อสร้าง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ภายใน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ของราคาค่าจ้างที่ประกวดราคาอิเล็กทรอนิกส์ ให้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ยึดถือไว้ในขณะทำสัญญาโดยใช้หลักประกันอย่างหนึ่งอย่างใด ดังต่อไปนี้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เงินสด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เช็คหรือด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ที่ธนาคารเซ็นสั่งจ่าย ซึ่งเป็นเช็คหรือด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ลงวันที่ที่ใช้เช็คหรือด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นั้น ชำระต่อเจ้าหน้าที่ในวันทำสัญญา หรือก่อนวันนั้นไม่เกิน ๓ วันทำการ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๖.๓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๖.๔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๖.๕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พันธบัตรรัฐบาลไทย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๗.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ค่าจ้างและการจ่ายเงิน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งวด ดังนี้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งวดที่ ๑ เป็นจำนวนเงินในอัตราร้อยละ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๕๐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ของค่าจ้าง เมื่อผู้รับจ้างได้ปฏิบัติงาน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จัดทำและติดตั้งป้ายโครงการ สก.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1 ,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ทดสอบความสามารถในการรับน้ำหนักบรรทุกของดิน พร้อมส่งรายงานผลการเจาะสำรวจดิน จำนวน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เล่ม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เสนอผลทดสอบคุณสมบัติของเหล็กเส้นกลมเสริมคอนกรีตก่อนนำไปใช้งาน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ส่ง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แคตตาล็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อกรายละเอียดของเครื่องสูบน้ำดิบ แบบ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ซัมเมิส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ซิ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เบิ้ล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ตู้ควบคุมพร้อมอุปกรณ์ไฟฟ้า และตัวอย่างวัสดุก่อสร้าง ให้คณะกรรมการตรวจรับพัสดุ ตรวจสอบและให้ความเห็นชอบก่อนนำไปใช้งาน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งานปรับพื้นที่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งานวางผัง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งานโครงสร้าง 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. ฐานถังกรอง และฐานหอถังสูงเหล็ก ขนาด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ลบ.ม. พร้อมทดสอบกำลังอัดคอนกรีตโครงสร้างทั้งหมดแล้วเสร็จ และติดตั้งหอถังสูงเหล็กสำเร็จรูปรูปทรง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แชมเปญ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ขนาด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ลบ.ม. สูง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ให้แล้วเสร็จภายใน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๙๐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งวดสุดท้าย เป็นจำนวนเงินในอัตราร้อยละ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๕๐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ของค่าจ้าง เมื่อผู้รับจ้างได้ปฏิบัติงาน</w:t>
                        </w:r>
                      </w:p>
                      <w:p w:rsidR="00152CAB" w:rsidRDefault="00152CAB" w:rsidP="00152CAB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/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งานติดตั้งถังกรองสนิมเหล็ก ขนาด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ลบ.ม./ชม.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งานติดตั้งเครื่องสูบน้ำดิบพร้อมอุปกรณ์ควบคุม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งานประสานท่อที่ปากบ่อบาดาล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งานประสานท่อระหว่างระบบ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งานท่อส่งน้ำดิบ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งานท่อจ่ายน้ำประปา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งานปรับเกลี่ยแต่ง สภาพพื้นที่ภายในที่ตั้งระบบประปาแล้วเสร็จ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งานจัดทำและติดตั้งป้ายโครงการ สก.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1/1 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งานขยายเขตระบบไฟฟ้าภายนอกและระบบไฟฟ้าภายในแล้วเสร็จ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ส่งมอบต้นฉบับพร้อมทั้งสำเนาของ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 AS BUILT  DRAWING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(ถ้ามี)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งานขออนุญาตใช้น้ำบาดาล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ทำการทดสอบการสูบจ่ายน้ำของระบบประปาหมู่บ้านทั้งระบบก่อนส่งมอบงานจ้างต่อหน้าคณะกรรมการตรวจรับพัสดุ จนเป็นที่พอใจแก่คณะกรรมการตรวจรับพัสดุ และงานอื่นๆ ตามรูปแบบและรายการแล้วเสร็จทั้งหมด รวมทั้งทำความสะอาดสถานที่ก่อสร้างให้สะอาดเรียบร้อย ตามที่กำหนดไว้ในสัญญาจ้าง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ให้แล้วเสร็จภายในระยะเวลา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120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นับถัดจากวันลงนามในสัญญาจ้าง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๘.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๘.๑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จะกำหนดค่าปรับสำหรับการฝ่าฝืนดังกล่าวเป็นจำนวนร้อยละ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๐.๐๐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ของวงเงินของงานจ้างช่วงนั้น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๘.๒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กรณีที่ผู้รับจ้างปฏิบัติผิดสัญญาจ้างก่อสร้าง นอกเหนือจากข้อ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๘.๑ จะกำหนดค่าปรับเป็นรายวันเป็นจำนวนเงินตายตัวในอัตราร้อยละ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๐.๒๕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ของราคางานจ้าง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๙.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การรับประกันความชำรุดบกพร่อง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ไม่น้อยกว่า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ปี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นับถัดจากวันที่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ได้รับมอบงาน โดยต้องรีบจัดการซ่อมแซมแก้ไขให้ใช้การได้ดีดังเดิมภายใน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๑๕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นับถัดจากวันที่ได้รับแจ้งความชำรุดบกพร่อง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Style w:val="af1"/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ข้อสงวนสิทธิในการยื่นข้อเสนอและอื่น ๆ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เงินค่าจ้างสำหรับงานจ้างครั้งนี้ ได้มาจาก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เงินงบประมาณประจำปี พ.ศ. ๒๕๖๒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การลงนามในสัญญาจะกระทำได้ต่อเมื่อ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ได้รับอนุมัติเงินค่าก่อสร้างจาก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เงินงบประมาณประจำปี พ.ศ. ๒๕๖๒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๑๐.๒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นาวี ดังนี้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นาวี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๑๐.๓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๑๐.๔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๑๐.๕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๑๐.๖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ไม่ได้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การทำการจัดจ้างครั้งนี้ต่อไปอาจก่อให้เกิดความเสียหายแก่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หรือกระทบต่อประโยชน์สาธารณะ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Style w:val="af1"/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๑๑.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การปรับราคาค่างานก่อสร้าง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 -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๑๒.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มาตรฐานฝีมือช่าง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            </w:r>
                        <w:proofErr w:type="spellStart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มาตราฐาน</w:t>
                        </w:r>
                        <w:proofErr w:type="spellEnd"/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ฝีมือช่างจาก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ผู้รับจ้างจะต้องมีและใช้ผู้ผ่านการทดสอบมาตรฐานฝีมือช่าง จากคณะกรรมการกำหนดมาตรฐานและทดสอบฝีมือแรงงาน สถาบันของทางราชการหรือสถาบันเอกชนที่ทางราชการรับรอง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หรือผู้มีวุฒิบัตรระดับ </w:t>
                        </w:r>
                        <w:proofErr w:type="spellStart"/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ปวส</w:t>
                        </w:r>
                        <w:proofErr w:type="spellEnd"/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. และ</w:t>
                        </w:r>
                        <w:proofErr w:type="spellStart"/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. หรือเทียบเท่าจากสถาบันการศึกษาที่ ก.พ. รับรองให้เข้ารับราชการได้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ในอัตราไม่ต่ำกว่าร้อยละ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๑๐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ของแต่ละ สาขาช่างแต่จะต้องมีจำนวนช่างอย่างน้อย ๑ คน ในแต่ละสาขาช่าง ดังต่อไปนี้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๑๒.๑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ช่างก่อสร้างหรือโยธาหรือสำรวจ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๑๓.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การปฏิบัติตามกฎหมายและระเบียบ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๑๔.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Fonts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การประเมินผลการปฏิบัติงานของผู้ประกอบการ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000000"/>
                            <w:sz w:val="32"/>
                            <w:szCs w:val="32"/>
                            <w:cs/>
                          </w:rPr>
                          <w:t>ไว้ชั่วคราว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cs="Cordia New"/>
                            <w:color w:val="660066"/>
                            <w:sz w:val="32"/>
                            <w:szCs w:val="32"/>
                            <w:cs/>
                          </w:rPr>
                          <w:t>๒๓ เมษายน ๒๕๖๒</w:t>
                        </w: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152C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2CAB" w:rsidRDefault="00152CAB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52CAB" w:rsidRDefault="00152CAB">
                  <w:pPr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52C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CAB" w:rsidRDefault="00152CAB">
                  <w:pP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  <w:tr w:rsidR="00152C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CAB" w:rsidRDefault="00152CAB">
                  <w:pPr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   </w:t>
                  </w:r>
                </w:p>
              </w:tc>
            </w:tr>
            <w:tr w:rsidR="00152C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CAB" w:rsidRDefault="00152CAB">
                  <w:pP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52CAB" w:rsidRDefault="00152CAB">
            <w:pPr>
              <w:pStyle w:val="z-1"/>
            </w:pPr>
            <w:r>
              <w:rPr>
                <w:cs/>
              </w:rPr>
              <w:t>ส่วนล่างของฟอร์ม</w:t>
            </w:r>
          </w:p>
          <w:p w:rsidR="00152CAB" w:rsidRDefault="00152CA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152CAB" w:rsidRDefault="00152CAB" w:rsidP="00152CAB">
      <w:pPr>
        <w:rPr>
          <w:vanish/>
        </w:rPr>
      </w:pP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8"/>
        <w:gridCol w:w="12"/>
      </w:tblGrid>
      <w:tr w:rsidR="00152CAB" w:rsidTr="00152CA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2CAB" w:rsidRDefault="00152CA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144000" cy="95250"/>
                  <wp:effectExtent l="0" t="0" r="0" b="0"/>
                  <wp:docPr id="3" name="รูปภาพ 3" descr="https://process3.gprocurement.go.th/egp3proc160Web/images/page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cess3.gprocurement.go.th/egp3proc160Web/images/page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AB" w:rsidTr="00152CAB">
        <w:trPr>
          <w:trHeight w:val="330"/>
          <w:tblCellSpacing w:w="0" w:type="dxa"/>
          <w:jc w:val="center"/>
        </w:trPr>
        <w:tc>
          <w:tcPr>
            <w:tcW w:w="13350" w:type="dxa"/>
            <w:vAlign w:val="center"/>
            <w:hideMark/>
          </w:tcPr>
          <w:p w:rsidR="00152CAB" w:rsidRDefault="00152CA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   </w:t>
            </w:r>
            <w:r>
              <w:rPr>
                <w:rStyle w:val="gray1"/>
                <w:rFonts w:ascii="Tahoma" w:hAnsi="Tahoma" w:cs="Tahoma"/>
                <w:color w:val="808080"/>
                <w:sz w:val="18"/>
                <w:szCs w:val="18"/>
                <w:cs/>
              </w:rPr>
              <w:t>กองการพัสดุภาครัฐ (</w:t>
            </w:r>
            <w:proofErr w:type="spellStart"/>
            <w:r>
              <w:rPr>
                <w:rStyle w:val="gray1"/>
                <w:rFonts w:ascii="Tahoma" w:hAnsi="Tahoma" w:cs="Tahoma"/>
                <w:color w:val="808080"/>
                <w:sz w:val="18"/>
                <w:szCs w:val="18"/>
                <w:cs/>
              </w:rPr>
              <w:t>กพภ</w:t>
            </w:r>
            <w:proofErr w:type="spellEnd"/>
            <w:r>
              <w:rPr>
                <w:rStyle w:val="gray1"/>
                <w:rFonts w:ascii="Tahoma" w:hAnsi="Tahoma" w:cs="Tahoma"/>
                <w:color w:val="808080"/>
                <w:sz w:val="18"/>
                <w:szCs w:val="18"/>
                <w:cs/>
              </w:rPr>
              <w:t xml:space="preserve">.) กรมบัญชีกลาง ถนนพระราม </w:t>
            </w:r>
            <w:r>
              <w:rPr>
                <w:rStyle w:val="gray1"/>
                <w:rFonts w:ascii="Tahoma" w:hAnsi="Tahoma" w:cs="Tahoma"/>
                <w:color w:val="808080"/>
                <w:sz w:val="18"/>
                <w:szCs w:val="18"/>
              </w:rPr>
              <w:t xml:space="preserve">6 </w:t>
            </w:r>
            <w:r>
              <w:rPr>
                <w:rStyle w:val="gray1"/>
                <w:rFonts w:ascii="Tahoma" w:hAnsi="Tahoma" w:cs="Tahoma"/>
                <w:color w:val="808080"/>
                <w:sz w:val="18"/>
                <w:szCs w:val="18"/>
                <w:cs/>
              </w:rPr>
              <w:t xml:space="preserve">แขวงพญาไท เขตพญาไท กรุงเทพมหานคร </w:t>
            </w:r>
            <w:r>
              <w:rPr>
                <w:rStyle w:val="gray1"/>
                <w:rFonts w:ascii="Tahoma" w:hAnsi="Tahoma" w:cs="Tahoma"/>
                <w:color w:val="808080"/>
                <w:sz w:val="18"/>
                <w:szCs w:val="18"/>
              </w:rPr>
              <w:t xml:space="preserve">10400 </w:t>
            </w:r>
            <w:r>
              <w:rPr>
                <w:rStyle w:val="gray1"/>
                <w:rFonts w:ascii="Tahoma" w:hAnsi="Tahoma" w:cs="Tahoma"/>
                <w:color w:val="808080"/>
                <w:sz w:val="18"/>
                <w:szCs w:val="18"/>
                <w:cs/>
              </w:rPr>
              <w:t>โท</w:t>
            </w:r>
          </w:p>
        </w:tc>
        <w:tc>
          <w:tcPr>
            <w:tcW w:w="0" w:type="auto"/>
            <w:vAlign w:val="center"/>
            <w:hideMark/>
          </w:tcPr>
          <w:p w:rsidR="00152CAB" w:rsidRDefault="00152CAB">
            <w:pPr>
              <w:rPr>
                <w:sz w:val="20"/>
                <w:szCs w:val="20"/>
              </w:rPr>
            </w:pPr>
          </w:p>
        </w:tc>
      </w:tr>
    </w:tbl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74B" w:rsidRDefault="004E574B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4D0D" w:rsidRPr="006A2F83" w:rsidRDefault="006A2F83" w:rsidP="006A2F8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2F83">
        <w:rPr>
          <w:rFonts w:ascii="TH SarabunIT๙" w:hAnsi="TH SarabunIT๙" w:cs="TH SarabunIT๙"/>
          <w:b/>
          <w:bCs/>
          <w:sz w:val="40"/>
          <w:szCs w:val="40"/>
          <w:cs/>
        </w:rPr>
        <w:t>ใบเสนอราคา</w:t>
      </w:r>
    </w:p>
    <w:p w:rsidR="006A2F83" w:rsidRDefault="006A2F83" w:rsidP="006A2F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F83" w:rsidRDefault="006A2F83" w:rsidP="006A2F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1.ข้อลดเหล็กธรรมดาหน้าแปลน 3นิ้วลด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ราคา..................................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>/ 1 อัน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2.หน้าจานเหล็กหล่อ เกลียวในออก 2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ราคา..................................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>/ 1 อัน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3.หน้าจานเหล็กหล่อ เกลียวในออก 3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ราคา.................................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1 อัน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นิปเปิ้ล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ราคา.................................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1 อัน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5.ท่อ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นิ้ว ยาว 6.00 ม.(คาดน้ำเงิน)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ราคา...................................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ท่อน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ปะเก็น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ยางหน้าจาน 3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ราคา...................................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>/ 1 แผ่น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ประเก็น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ยางหน้าจาน 2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ราคา..................................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>./ 1 แผ่น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น็อต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ขนาด 5 หุน ยาว2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t>½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ราคา..................................</w:t>
      </w:r>
      <w:r w:rsidR="0044316D">
        <w:rPr>
          <w:rFonts w:ascii="TH SarabunIT๙" w:hAnsi="TH SarabunIT๙" w:cs="TH SarabunIT๙" w:hint="cs"/>
          <w:b/>
          <w:bCs/>
          <w:sz w:val="32"/>
          <w:szCs w:val="32"/>
          <w:cs/>
        </w:rPr>
        <w:t>./ 1 ตัว</w:t>
      </w:r>
    </w:p>
    <w:p w:rsidR="006A2F83" w:rsidRDefault="006A2F83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966" w:rsidRDefault="004B3966" w:rsidP="006A2F83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.วังมะปรางเหนือ อำเภอวังวิเศษ จังหวัดตรัง  075-270920</w:t>
      </w:r>
    </w:p>
    <w:p w:rsidR="004B3966" w:rsidRPr="006A2F83" w:rsidRDefault="004B3966" w:rsidP="006A2F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Fax 075-270920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 16</w:t>
      </w: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6A2F83" w:rsidRDefault="00354D0D" w:rsidP="00354D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54D0D" w:rsidRPr="0014523B" w:rsidRDefault="00354D0D" w:rsidP="00F353C1">
      <w:pPr>
        <w:jc w:val="center"/>
        <w:rPr>
          <w:rFonts w:ascii="Angsana New" w:hAnsi="Angsana New"/>
        </w:rPr>
      </w:pPr>
    </w:p>
    <w:sectPr w:rsidR="00354D0D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34292"/>
    <w:multiLevelType w:val="multilevel"/>
    <w:tmpl w:val="3224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3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15"/>
  </w:num>
  <w:num w:numId="12">
    <w:abstractNumId w:val="2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6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70CEB"/>
    <w:rsid w:val="000862AA"/>
    <w:rsid w:val="000C246A"/>
    <w:rsid w:val="000D5F66"/>
    <w:rsid w:val="000E2DEC"/>
    <w:rsid w:val="000E516A"/>
    <w:rsid w:val="00102577"/>
    <w:rsid w:val="0010430B"/>
    <w:rsid w:val="00111588"/>
    <w:rsid w:val="0013132E"/>
    <w:rsid w:val="00137811"/>
    <w:rsid w:val="0014210E"/>
    <w:rsid w:val="00143495"/>
    <w:rsid w:val="0014523B"/>
    <w:rsid w:val="00152CA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4D0D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5DB"/>
    <w:rsid w:val="00435DA0"/>
    <w:rsid w:val="004409F0"/>
    <w:rsid w:val="0044316D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B3966"/>
    <w:rsid w:val="004C1662"/>
    <w:rsid w:val="004C3DD9"/>
    <w:rsid w:val="004E057C"/>
    <w:rsid w:val="004E574B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828D8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2F83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D6C15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B1321"/>
    <w:rsid w:val="008D034B"/>
    <w:rsid w:val="008D4E77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294D"/>
    <w:rsid w:val="00994FC5"/>
    <w:rsid w:val="009A010E"/>
    <w:rsid w:val="009A2785"/>
    <w:rsid w:val="009C0E33"/>
    <w:rsid w:val="009C4DEE"/>
    <w:rsid w:val="009C5108"/>
    <w:rsid w:val="009C5E4F"/>
    <w:rsid w:val="009D1AC2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1D5F"/>
    <w:rsid w:val="00BE40DB"/>
    <w:rsid w:val="00BE5097"/>
    <w:rsid w:val="00BE66B9"/>
    <w:rsid w:val="00C024BD"/>
    <w:rsid w:val="00C070DC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5FA5"/>
    <w:rsid w:val="00C96C4A"/>
    <w:rsid w:val="00C97F76"/>
    <w:rsid w:val="00CB45CC"/>
    <w:rsid w:val="00CB672A"/>
    <w:rsid w:val="00CC1896"/>
    <w:rsid w:val="00CD630F"/>
    <w:rsid w:val="00CE6EFB"/>
    <w:rsid w:val="00CF31CC"/>
    <w:rsid w:val="00CF4AED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96613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12A7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56617-D307-46B0-ABFD-515A4BD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8">
    <w:name w:val="page number"/>
    <w:basedOn w:val="a0"/>
    <w:rsid w:val="002B5D49"/>
  </w:style>
  <w:style w:type="paragraph" w:styleId="a9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c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d">
    <w:name w:val="Hyperlink"/>
    <w:uiPriority w:val="99"/>
    <w:rsid w:val="008E464F"/>
    <w:rPr>
      <w:color w:val="0000FF"/>
      <w:u w:val="single"/>
    </w:rPr>
  </w:style>
  <w:style w:type="paragraph" w:styleId="ae">
    <w:name w:val="Balloon Text"/>
    <w:basedOn w:val="a"/>
    <w:link w:val="af"/>
    <w:rsid w:val="006A2F83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rsid w:val="006A2F83"/>
    <w:rPr>
      <w:rFonts w:ascii="Leelawadee" w:hAnsi="Leelawadee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52CAB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152CAB"/>
    <w:rPr>
      <w:rFonts w:ascii="Arial" w:eastAsia="Times New Roman" w:hAnsi="Arial" w:cs="Cordia New"/>
      <w:vanish/>
      <w:sz w:val="16"/>
    </w:rPr>
  </w:style>
  <w:style w:type="character" w:styleId="af0">
    <w:name w:val="FollowedHyperlink"/>
    <w:basedOn w:val="a0"/>
    <w:uiPriority w:val="99"/>
    <w:unhideWhenUsed/>
    <w:rsid w:val="00152CAB"/>
    <w:rPr>
      <w:color w:val="800080"/>
      <w:u w:val="single"/>
    </w:rPr>
  </w:style>
  <w:style w:type="character" w:styleId="af1">
    <w:name w:val="Strong"/>
    <w:basedOn w:val="a0"/>
    <w:uiPriority w:val="22"/>
    <w:qFormat/>
    <w:rsid w:val="00152CAB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2CAB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152CAB"/>
    <w:rPr>
      <w:rFonts w:ascii="Arial" w:eastAsia="Times New Roman" w:hAnsi="Arial" w:cs="Cordia New"/>
      <w:vanish/>
      <w:sz w:val="16"/>
    </w:rPr>
  </w:style>
  <w:style w:type="character" w:customStyle="1" w:styleId="gray1">
    <w:name w:val="gray1"/>
    <w:basedOn w:val="a0"/>
    <w:rsid w:val="0015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4427</Words>
  <Characters>25237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Windows User</cp:lastModifiedBy>
  <cp:revision>15</cp:revision>
  <cp:lastPrinted>2019-03-26T08:29:00Z</cp:lastPrinted>
  <dcterms:created xsi:type="dcterms:W3CDTF">2019-02-20T07:01:00Z</dcterms:created>
  <dcterms:modified xsi:type="dcterms:W3CDTF">2019-04-25T05:28:00Z</dcterms:modified>
</cp:coreProperties>
</file>